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A3C" w:rsidRDefault="00FB60A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90A3C" w:rsidRDefault="00FB60A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1.004067</w:t>
      </w:r>
    </w:p>
    <w:p w:rsidR="00890A3C" w:rsidRDefault="00FB60A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258/QĐ-BXD</w:t>
      </w:r>
    </w:p>
    <w:p w:rsidR="00890A3C" w:rsidRDefault="00FB60A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thông báo hàng hải về khu vực biển hạn chế hoặc cấm hoạt động hàng hải</w:t>
      </w:r>
    </w:p>
    <w:p w:rsidR="00890A3C" w:rsidRDefault="00FB60A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890A3C" w:rsidRDefault="00FB60A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90A3C" w:rsidRDefault="00FB60A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w:t>
      </w:r>
      <w:r>
        <w:rPr>
          <w:rFonts w:ascii="Times New Roman" w:eastAsia="Times New Roman" w:hAnsi="Times New Roman" w:cs="Times New Roman"/>
          <w:sz w:val="26"/>
        </w:rPr>
        <w:t xml:space="preserve"> hải và đường thủy nội địa</w:t>
      </w:r>
    </w:p>
    <w:p w:rsidR="00890A3C" w:rsidRDefault="00FB60A7">
      <w:pPr>
        <w:spacing w:after="0" w:line="276" w:lineRule="auto"/>
        <w:jc w:val="both"/>
      </w:pPr>
      <w:r>
        <w:rPr>
          <w:rFonts w:ascii="Times New Roman" w:eastAsia="Times New Roman" w:hAnsi="Times New Roman" w:cs="Times New Roman"/>
          <w:b/>
          <w:sz w:val="26"/>
        </w:rPr>
        <w:t xml:space="preserve">Trình tự thực hiện: </w:t>
      </w:r>
    </w:p>
    <w:p w:rsidR="00890A3C" w:rsidRDefault="00890A3C">
      <w:pPr>
        <w:shd w:val="clear" w:color="auto" w:fill="F2F6F9"/>
        <w:spacing w:before="120" w:after="0" w:line="276" w:lineRule="auto"/>
        <w:jc w:val="both"/>
      </w:pPr>
    </w:p>
    <w:p w:rsidR="00890A3C" w:rsidRDefault="00FB60A7">
      <w:pPr>
        <w:spacing w:after="0" w:line="276" w:lineRule="auto"/>
        <w:jc w:val="both"/>
      </w:pPr>
      <w:r>
        <w:rPr>
          <w:rFonts w:ascii="Times New Roman" w:eastAsia="Times New Roman" w:hAnsi="Times New Roman" w:cs="Times New Roman"/>
          <w:sz w:val="26"/>
        </w:rPr>
        <w:t>a) Nộp hồ sơ TTHC: Chủ đầu tư hoặc người khai thác gửi trực tiếp 01 bộ hồ sơ hoặc qua hệ thống bưu chính hoặc qua hệ thống dịch vụ công trực tuyến đến Cảng vụ hàng hải/Cảng vụ đường thủy nội địa.</w:t>
      </w:r>
    </w:p>
    <w:p w:rsidR="00890A3C" w:rsidRDefault="00FB60A7">
      <w:pPr>
        <w:spacing w:after="0" w:line="276" w:lineRule="auto"/>
        <w:jc w:val="both"/>
      </w:pPr>
      <w:r>
        <w:rPr>
          <w:rFonts w:ascii="Times New Roman" w:eastAsia="Times New Roman" w:hAnsi="Times New Roman" w:cs="Times New Roman"/>
          <w:sz w:val="26"/>
        </w:rPr>
        <w:t>b) Giải quy</w:t>
      </w:r>
      <w:r>
        <w:rPr>
          <w:rFonts w:ascii="Times New Roman" w:eastAsia="Times New Roman" w:hAnsi="Times New Roman" w:cs="Times New Roman"/>
          <w:sz w:val="26"/>
        </w:rPr>
        <w:t xml:space="preserve">ết TTHC: - Trường hợp hồ sơ chưa hợp lệ thì trong thời gian 02 ngày làm việc, kể từ khi nhận được hồ sơ, Cảng vụ hàng hải/Cảng vụ đường thủy nội địa hướng dẫn hoàn thiện hồ sơ theo quy định; - Trường hợp hồ sơ hợp lệ thì trong thời hạn 03 ngày làm việc kể </w:t>
      </w:r>
      <w:r>
        <w:rPr>
          <w:rFonts w:ascii="Times New Roman" w:eastAsia="Times New Roman" w:hAnsi="Times New Roman" w:cs="Times New Roman"/>
          <w:sz w:val="26"/>
        </w:rPr>
        <w:t>từ ngày nhận đủ hồ sơ, Cảng vụ hàng hải/Cảng vụ đường thủy nội địa có trách nhiệm kiểm tra hồ sơ, công bố thông báo hàng hải; trường hợp không công bố, phải có văn bản trả lời và nêu rõ lý do.</w:t>
      </w:r>
    </w:p>
    <w:p w:rsidR="00890A3C" w:rsidRDefault="00FB60A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77"/>
        <w:gridCol w:w="1420"/>
        <w:gridCol w:w="2202"/>
        <w:gridCol w:w="4412"/>
      </w:tblGrid>
      <w:tr w:rsidR="00890A3C">
        <w:tblPrEx>
          <w:tblCellMar>
            <w:top w:w="0" w:type="dxa"/>
            <w:bottom w:w="0" w:type="dxa"/>
          </w:tblCellMar>
        </w:tblPrEx>
        <w:tc>
          <w:tcPr>
            <w:tcW w:w="15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Hình thức nộp</w:t>
            </w:r>
          </w:p>
        </w:tc>
        <w:tc>
          <w:tcPr>
            <w:tcW w:w="20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Phí,</w:t>
            </w:r>
            <w:r>
              <w:rPr>
                <w:rFonts w:ascii="Times New Roman" w:eastAsia="Times New Roman" w:hAnsi="Times New Roman" w:cs="Times New Roman"/>
                <w:b/>
                <w:sz w:val="26"/>
              </w:rPr>
              <w:t xml:space="preserve"> lệ phí</w:t>
            </w:r>
          </w:p>
        </w:tc>
        <w:tc>
          <w:tcPr>
            <w:tcW w:w="30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Mô tả</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Trực tiếp</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3 Ngày làm việc</w:t>
            </w:r>
          </w:p>
        </w:tc>
        <w:tc>
          <w:tcPr>
            <w:tcW w:w="0" w:type="auto"/>
          </w:tcPr>
          <w:p w:rsidR="00890A3C" w:rsidRDefault="00890A3C"/>
          <w:p w:rsidR="00890A3C" w:rsidRDefault="00890A3C">
            <w:pPr>
              <w:spacing w:after="0" w:line="276" w:lineRule="auto"/>
            </w:pP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Trong thời hạn 03 ngày làm việc, kể từ ngày nhận được hồ sơ hợp lệ.</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Trực tuyến</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3 Ngày làm việc</w:t>
            </w:r>
          </w:p>
        </w:tc>
        <w:tc>
          <w:tcPr>
            <w:tcW w:w="0" w:type="auto"/>
          </w:tcPr>
          <w:p w:rsidR="00890A3C" w:rsidRDefault="00890A3C"/>
          <w:p w:rsidR="00890A3C" w:rsidRDefault="00890A3C">
            <w:pPr>
              <w:spacing w:after="0" w:line="276" w:lineRule="auto"/>
            </w:pP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Trong thời hạn 03 ngày làm việc, kể từ ngày nhận được hồ sơ hợp lệ.</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Dịch vụ bưu chính</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3 Ngày làm việc</w:t>
            </w:r>
          </w:p>
        </w:tc>
        <w:tc>
          <w:tcPr>
            <w:tcW w:w="0" w:type="auto"/>
          </w:tcPr>
          <w:p w:rsidR="00890A3C" w:rsidRDefault="00890A3C"/>
          <w:p w:rsidR="00890A3C" w:rsidRDefault="00890A3C">
            <w:pPr>
              <w:spacing w:after="0" w:line="276" w:lineRule="auto"/>
            </w:pP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Trong thời hạn 03 ngày làm việc, kể từ ngày nhận được hồ sơ hợp lệ.</w:t>
            </w:r>
          </w:p>
        </w:tc>
      </w:tr>
    </w:tbl>
    <w:p w:rsidR="00890A3C" w:rsidRDefault="00FB60A7">
      <w:pPr>
        <w:spacing w:before="240" w:after="0" w:line="276" w:lineRule="auto"/>
        <w:jc w:val="both"/>
      </w:pPr>
      <w:r>
        <w:rPr>
          <w:rFonts w:ascii="Times New Roman" w:eastAsia="Times New Roman" w:hAnsi="Times New Roman" w:cs="Times New Roman"/>
          <w:b/>
          <w:sz w:val="26"/>
        </w:rPr>
        <w:t xml:space="preserve">Thành phần hồ sơ: </w:t>
      </w:r>
    </w:p>
    <w:p w:rsidR="00890A3C" w:rsidRDefault="00FB60A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957"/>
        <w:gridCol w:w="4461"/>
        <w:gridCol w:w="993"/>
      </w:tblGrid>
      <w:tr w:rsidR="00890A3C">
        <w:tblPrEx>
          <w:tblCellMar>
            <w:top w:w="0" w:type="dxa"/>
            <w:bottom w:w="0" w:type="dxa"/>
          </w:tblCellMar>
        </w:tblPrEx>
        <w:tc>
          <w:tcPr>
            <w:tcW w:w="60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lastRenderedPageBreak/>
              <w:t>Số lượng</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 Bản chính hoặc biểu mẫu điện tử Đơn đề nghị của chủ đầu tư hoặc người khai thác theo mẫu</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Mauonenghicongbothongbaohanghai.docx</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 Bản sao hoặc bản sao điện tử Bình đồ hoặc hải đồ thể hiện khu vực biển hạn chế hoặc cấm hoạt động hàng hải;</w:t>
            </w:r>
          </w:p>
        </w:tc>
        <w:tc>
          <w:tcPr>
            <w:tcW w:w="0" w:type="auto"/>
          </w:tcPr>
          <w:p w:rsidR="00890A3C" w:rsidRDefault="00890A3C"/>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 xml:space="preserve">- Bản sao hoặc bản sao điện tử văn bản chấp thuận của </w:t>
            </w:r>
            <w:r>
              <w:rPr>
                <w:rFonts w:ascii="Times New Roman" w:eastAsia="Times New Roman" w:hAnsi="Times New Roman" w:cs="Times New Roman"/>
                <w:sz w:val="26"/>
              </w:rPr>
              <w:t>cơ quan có thẩm quyền theo quy định của pháp luật (nếu có);</w:t>
            </w:r>
          </w:p>
        </w:tc>
        <w:tc>
          <w:tcPr>
            <w:tcW w:w="0" w:type="auto"/>
          </w:tcPr>
          <w:p w:rsidR="00890A3C" w:rsidRDefault="00890A3C"/>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 Bản sao hoặc bản sao điện tử các tài liệu, thông tin cần thiết liên quan đến khu vực biển hạn chế hoặc cấm hoạt động hàng hải (nếu có).</w:t>
            </w:r>
          </w:p>
        </w:tc>
        <w:tc>
          <w:tcPr>
            <w:tcW w:w="0" w:type="auto"/>
          </w:tcPr>
          <w:p w:rsidR="00890A3C" w:rsidRDefault="00890A3C"/>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890A3C" w:rsidRDefault="00FB60A7">
      <w:pPr>
        <w:spacing w:before="240" w:after="0" w:line="276" w:lineRule="auto"/>
        <w:jc w:val="both"/>
      </w:pPr>
      <w:r>
        <w:rPr>
          <w:rFonts w:ascii="Times New Roman" w:eastAsia="Times New Roman" w:hAnsi="Times New Roman" w:cs="Times New Roman"/>
          <w:b/>
          <w:sz w:val="26"/>
        </w:rPr>
        <w:t>Đối</w:t>
      </w:r>
      <w:r>
        <w:rPr>
          <w:rFonts w:ascii="Times New Roman" w:eastAsia="Times New Roman" w:hAnsi="Times New Roman" w:cs="Times New Roman"/>
          <w:b/>
          <w:sz w:val="26"/>
        </w:rPr>
        <w:t xml:space="preserve">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gồm doanh nghiệp, HTX), Tổ chức nước ngoài, Hợp tác xã</w:t>
      </w:r>
    </w:p>
    <w:p w:rsidR="00890A3C" w:rsidRDefault="00FB60A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địa</w:t>
      </w:r>
    </w:p>
    <w:p w:rsidR="00890A3C" w:rsidRDefault="00FB60A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Cảng vụ hàng hải, Cảng vụ đường thủy nội địa</w:t>
      </w:r>
    </w:p>
    <w:p w:rsidR="00890A3C" w:rsidRDefault="00FB60A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890A3C" w:rsidRDefault="00FB60A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90A3C" w:rsidRDefault="00FB60A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890A3C" w:rsidRDefault="00FB60A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Thông báo hàng hải về khu vực biển hạn chế hoặc</w:t>
      </w:r>
      <w:r>
        <w:rPr>
          <w:rFonts w:ascii="Times New Roman" w:eastAsia="Times New Roman" w:hAnsi="Times New Roman" w:cs="Times New Roman"/>
          <w:sz w:val="26"/>
        </w:rPr>
        <w:t xml:space="preserve"> cấm hoạt động hàng hải</w:t>
      </w:r>
    </w:p>
    <w:p w:rsidR="00890A3C" w:rsidRDefault="00FB60A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77"/>
        <w:gridCol w:w="4857"/>
        <w:gridCol w:w="1021"/>
        <w:gridCol w:w="1756"/>
      </w:tblGrid>
      <w:tr w:rsidR="00890A3C">
        <w:tblPrEx>
          <w:tblCellMar>
            <w:top w:w="0" w:type="dxa"/>
            <w:bottom w:w="0" w:type="dxa"/>
          </w:tblCellMar>
        </w:tblPrEx>
        <w:tc>
          <w:tcPr>
            <w:tcW w:w="20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Số ký hiệu</w:t>
            </w:r>
          </w:p>
        </w:tc>
        <w:tc>
          <w:tcPr>
            <w:tcW w:w="35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Trích yếu</w:t>
            </w:r>
          </w:p>
        </w:tc>
        <w:tc>
          <w:tcPr>
            <w:tcW w:w="15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Ngày ban hành</w:t>
            </w:r>
          </w:p>
        </w:tc>
        <w:tc>
          <w:tcPr>
            <w:tcW w:w="3000" w:type="dxa"/>
          </w:tcPr>
          <w:p w:rsidR="00890A3C" w:rsidRDefault="00890A3C"/>
          <w:p w:rsidR="00890A3C" w:rsidRDefault="00FB60A7">
            <w:pPr>
              <w:spacing w:after="0" w:line="276" w:lineRule="auto"/>
              <w:jc w:val="center"/>
            </w:pPr>
            <w:r>
              <w:rPr>
                <w:rFonts w:ascii="Times New Roman" w:eastAsia="Times New Roman" w:hAnsi="Times New Roman" w:cs="Times New Roman"/>
                <w:b/>
                <w:sz w:val="26"/>
              </w:rPr>
              <w:t>Cơ quan ban hành</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95/2015/QH13</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Hàng hải</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25-11-2015</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Quốc Hội</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58/2017/NĐ-CP</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Quy định chi tiết một số điều của Bộ luật Hàng hải Việt Nam về quản lý hoạt động hàng hải</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10-05-2017</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Chính phủ</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33/2025/NĐ-CP</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Quy định chức năng, nhiệm vụ, quyền hạn và cơ cấu tổ chức của Bộ Xây dựng.</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25-02-2025</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Chính phủ</w:t>
            </w:r>
          </w:p>
        </w:tc>
      </w:tr>
      <w:tr w:rsidR="00890A3C">
        <w:tblPrEx>
          <w:tblCellMar>
            <w:top w:w="0" w:type="dxa"/>
            <w:bottom w:w="0" w:type="dxa"/>
          </w:tblCellMar>
        </w:tblPrEx>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34/2025/NĐ-CP</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Sửa đổi, bổ sung một số điều của các Nghị định trong lĩnh vực hàng hải</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25-02-2025</w:t>
            </w:r>
          </w:p>
        </w:tc>
        <w:tc>
          <w:tcPr>
            <w:tcW w:w="0" w:type="auto"/>
          </w:tcPr>
          <w:p w:rsidR="00890A3C" w:rsidRDefault="00890A3C"/>
          <w:p w:rsidR="00890A3C" w:rsidRDefault="00FB60A7">
            <w:pPr>
              <w:spacing w:after="0" w:line="276" w:lineRule="auto"/>
            </w:pPr>
            <w:r>
              <w:rPr>
                <w:rFonts w:ascii="Times New Roman" w:eastAsia="Times New Roman" w:hAnsi="Times New Roman" w:cs="Times New Roman"/>
                <w:sz w:val="26"/>
              </w:rPr>
              <w:t>Chính phủ</w:t>
            </w:r>
          </w:p>
        </w:tc>
      </w:tr>
    </w:tbl>
    <w:p w:rsidR="00890A3C" w:rsidRDefault="00FB60A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890A3C" w:rsidRDefault="00FB60A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90A3C" w:rsidRDefault="00FB60A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90A3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90A3C"/>
    <w:rsid w:val="00890A3C"/>
    <w:rsid w:val="00FB60A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B98DD1-FC99-435C-9105-9B25064E9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465</Words>
  <Characters>2652</Characters>
  <Application>Microsoft Office Word</Application>
  <DocSecurity>0</DocSecurity>
  <Lines>22</Lines>
  <Paragraphs>6</Paragraphs>
  <ScaleCrop>false</ScaleCrop>
  <Company>Microsoft</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